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86E" w:rsidRPr="00D9086E" w:rsidRDefault="004554DC" w:rsidP="001330CB">
      <w:pPr>
        <w:spacing w:after="0" w:line="240" w:lineRule="auto"/>
        <w:jc w:val="center"/>
        <w:rPr>
          <w:b/>
          <w:sz w:val="64"/>
        </w:rPr>
      </w:pPr>
      <w:r>
        <w:rPr>
          <w:b/>
          <w:sz w:val="64"/>
        </w:rPr>
        <w:t>P</w:t>
      </w:r>
      <w:r w:rsidR="00653C86">
        <w:rPr>
          <w:b/>
          <w:sz w:val="64"/>
        </w:rPr>
        <w:t>H</w:t>
      </w:r>
      <w:r>
        <w:rPr>
          <w:b/>
          <w:sz w:val="64"/>
        </w:rPr>
        <w:t xml:space="preserve">ARMACEUTICAL AND </w:t>
      </w:r>
      <w:r w:rsidR="00D9086E" w:rsidRPr="00D9086E">
        <w:rPr>
          <w:b/>
          <w:sz w:val="64"/>
        </w:rPr>
        <w:t>MEDICAL</w:t>
      </w:r>
      <w:r>
        <w:rPr>
          <w:b/>
          <w:sz w:val="64"/>
        </w:rPr>
        <w:t xml:space="preserve"> INDUSTRY</w:t>
      </w:r>
      <w:r w:rsidR="00D9086E" w:rsidRPr="00D9086E">
        <w:rPr>
          <w:b/>
          <w:sz w:val="64"/>
        </w:rPr>
        <w:t xml:space="preserve"> CONVENTIONS IN BOSTON:</w:t>
      </w:r>
    </w:p>
    <w:p w:rsidR="001330CB" w:rsidRDefault="009D127E" w:rsidP="001330CB">
      <w:pPr>
        <w:spacing w:after="0" w:line="240" w:lineRule="auto"/>
        <w:jc w:val="center"/>
        <w:rPr>
          <w:rFonts w:asciiTheme="minorHAnsi" w:hAnsiTheme="minorHAnsi"/>
          <w:b/>
          <w:sz w:val="36"/>
          <w:szCs w:val="36"/>
        </w:rPr>
      </w:pPr>
      <w:r>
        <w:rPr>
          <w:rFonts w:asciiTheme="minorHAnsi" w:hAnsiTheme="minorHAnsi"/>
          <w:b/>
          <w:sz w:val="36"/>
          <w:szCs w:val="36"/>
        </w:rPr>
        <w:t>Top facilities, high demand, and the economic impact</w:t>
      </w:r>
    </w:p>
    <w:p w:rsidR="009C42AC" w:rsidRDefault="009C42AC" w:rsidP="00FB3201">
      <w:pPr>
        <w:spacing w:after="0" w:line="240" w:lineRule="auto"/>
        <w:rPr>
          <w:i/>
          <w:sz w:val="16"/>
          <w:szCs w:val="16"/>
        </w:rPr>
      </w:pPr>
    </w:p>
    <w:p w:rsidR="009C42AC" w:rsidRPr="009C42AC" w:rsidRDefault="00FB3201" w:rsidP="00FB3201">
      <w:pPr>
        <w:spacing w:after="0" w:line="240" w:lineRule="auto"/>
        <w:rPr>
          <w:sz w:val="16"/>
          <w:szCs w:val="16"/>
        </w:rPr>
      </w:pPr>
      <w:r w:rsidRPr="009C42AC">
        <w:rPr>
          <w:i/>
          <w:sz w:val="16"/>
          <w:szCs w:val="16"/>
        </w:rPr>
        <w:t>“The Hynes and the BCEC have together helped us raise the profile of Boston as a worldwide hub for life sciences, medical research and technology by bringing leading international thinkers together with local talent, creating long-term economic benefit to our industry and economy.”</w:t>
      </w:r>
      <w:r w:rsidRPr="009C42AC">
        <w:rPr>
          <w:sz w:val="16"/>
          <w:szCs w:val="16"/>
        </w:rPr>
        <w:t xml:space="preserve"> – Thomas Menino, Mayor, City of Boston (MCCA Annual Report, 2009)</w:t>
      </w:r>
    </w:p>
    <w:p w:rsidR="009C42AC" w:rsidRPr="009C42AC" w:rsidRDefault="009C42AC" w:rsidP="00FB3201">
      <w:pPr>
        <w:spacing w:after="0" w:line="240" w:lineRule="auto"/>
        <w:rPr>
          <w:sz w:val="20"/>
          <w:szCs w:val="20"/>
        </w:rPr>
      </w:pPr>
    </w:p>
    <w:p w:rsidR="001330CB" w:rsidRDefault="0006437D" w:rsidP="00A77971">
      <w:pPr>
        <w:spacing w:after="0" w:line="240" w:lineRule="auto"/>
        <w:jc w:val="center"/>
        <w:rPr>
          <w:rFonts w:ascii="Calibri" w:hAnsi="Calibri"/>
          <w:b/>
          <w:sz w:val="64"/>
          <w:szCs w:val="72"/>
        </w:rPr>
      </w:pPr>
      <w:r>
        <w:rPr>
          <w:rFonts w:ascii="Calibri" w:hAnsi="Calibri"/>
          <w:b/>
          <w:noProof/>
          <w:sz w:val="64"/>
          <w:szCs w:val="72"/>
        </w:rPr>
        <w:pict>
          <v:shapetype id="_x0000_t202" coordsize="21600,21600" o:spt="202" path="m,l,21600r21600,l21600,xe">
            <v:stroke joinstyle="miter"/>
            <v:path gradientshapeok="t" o:connecttype="rect"/>
          </v:shapetype>
          <v:shape id="_x0000_s1026" type="#_x0000_t202" style="position:absolute;left:0;text-align:left;margin-left:-1.8pt;margin-top:3.95pt;width:476.25pt;height:91.55pt;z-index:251658240" filled="f" fillcolor="#f2f2f2 [3052]" strokecolor="black [3200]" strokeweight="2.5pt">
            <v:shadow color="#868686"/>
            <v:textbox style="mso-next-textbox:#_x0000_s1026">
              <w:txbxContent>
                <w:p w:rsidR="00D26783" w:rsidRDefault="00D26783" w:rsidP="001330CB">
                  <w:r w:rsidRPr="005F0064">
                    <w:rPr>
                      <w:rFonts w:cs="Arial"/>
                      <w:b/>
                      <w:i/>
                      <w:color w:val="C00000"/>
                      <w:sz w:val="20"/>
                      <w:szCs w:val="20"/>
                    </w:rPr>
                    <w:t>THE ISSUE</w:t>
                  </w:r>
                  <w:r w:rsidRPr="005F0064">
                    <w:rPr>
                      <w:rFonts w:cs="Arial"/>
                      <w:color w:val="C00000"/>
                    </w:rPr>
                    <w:t>:</w:t>
                  </w:r>
                  <w:r w:rsidRPr="005F0064">
                    <w:rPr>
                      <w:rFonts w:cs="Arial"/>
                    </w:rPr>
                    <w:t xml:space="preserve"> </w:t>
                  </w:r>
                  <w:r w:rsidRPr="005F0064">
                    <w:rPr>
                      <w:rFonts w:cs="Arial"/>
                      <w:sz w:val="20"/>
                      <w:szCs w:val="20"/>
                    </w:rPr>
                    <w:t xml:space="preserve">An undisclosed portion of the pharmaceutical industry’s budget goes towards drug marketing, mostly to physicians, which can influence brand selection and prescription rates. A recent survey in the </w:t>
                  </w:r>
                  <w:r w:rsidRPr="005F0064">
                    <w:rPr>
                      <w:rFonts w:cs="Arial"/>
                      <w:i/>
                      <w:sz w:val="20"/>
                      <w:szCs w:val="20"/>
                    </w:rPr>
                    <w:t>New England Journal of Medicine</w:t>
                  </w:r>
                  <w:r w:rsidRPr="005F0064">
                    <w:rPr>
                      <w:rFonts w:cs="Arial"/>
                      <w:sz w:val="20"/>
                      <w:szCs w:val="20"/>
                    </w:rPr>
                    <w:t xml:space="preserve"> says 94% of physicians have received gifts or payments from the industry. AARP believes we must protect the Massachusetts Prescription Gift Ban law because voluntary industry codes have proved to be insufficient in curbing these trends – the costs of which are passed on to consumers</w:t>
                  </w:r>
                  <w:r>
                    <w:rPr>
                      <w:rFonts w:cs="Arial"/>
                      <w:sz w:val="20"/>
                      <w:szCs w:val="20"/>
                    </w:rPr>
                    <w:t xml:space="preserve">. </w:t>
                  </w:r>
                  <w:r w:rsidRPr="005F0064">
                    <w:rPr>
                      <w:rFonts w:cs="Arial"/>
                      <w:sz w:val="16"/>
                      <w:szCs w:val="16"/>
                    </w:rPr>
                    <w:t>(</w:t>
                  </w:r>
                  <w:r w:rsidRPr="005F0064">
                    <w:rPr>
                      <w:rFonts w:cs="Arial"/>
                      <w:i/>
                      <w:sz w:val="16"/>
                      <w:szCs w:val="16"/>
                    </w:rPr>
                    <w:t>Source: NEJM</w:t>
                  </w:r>
                  <w:r w:rsidRPr="005F0064">
                    <w:rPr>
                      <w:rFonts w:cs="Arial"/>
                      <w:sz w:val="16"/>
                      <w:szCs w:val="16"/>
                    </w:rPr>
                    <w:t>, April 26, 2007; 356 (17):1742)</w:t>
                  </w:r>
                </w:p>
                <w:p w:rsidR="00D26783" w:rsidRPr="005F0064" w:rsidRDefault="00D26783" w:rsidP="001330CB">
                  <w:pPr>
                    <w:rPr>
                      <w:rFonts w:cs="Arial"/>
                    </w:rPr>
                  </w:pPr>
                </w:p>
                <w:p w:rsidR="00D26783" w:rsidRDefault="00D26783" w:rsidP="001330CB"/>
              </w:txbxContent>
            </v:textbox>
          </v:shape>
        </w:pict>
      </w:r>
    </w:p>
    <w:p w:rsidR="001330CB" w:rsidRPr="000B1737" w:rsidRDefault="001330CB" w:rsidP="00A77971">
      <w:pPr>
        <w:spacing w:after="0" w:line="240" w:lineRule="auto"/>
        <w:jc w:val="center"/>
        <w:rPr>
          <w:rFonts w:ascii="Calibri" w:hAnsi="Calibri"/>
          <w:b/>
          <w:sz w:val="64"/>
          <w:szCs w:val="72"/>
        </w:rPr>
      </w:pPr>
    </w:p>
    <w:p w:rsidR="000B1737" w:rsidRDefault="000B1737" w:rsidP="00A77971">
      <w:pPr>
        <w:spacing w:after="0" w:line="240" w:lineRule="auto"/>
      </w:pPr>
    </w:p>
    <w:p w:rsidR="000B1737" w:rsidRDefault="000B1737" w:rsidP="00A77971">
      <w:pPr>
        <w:spacing w:after="0" w:line="240" w:lineRule="auto"/>
        <w:sectPr w:rsidR="000B1737" w:rsidSect="001330CB">
          <w:footerReference w:type="default" r:id="rId7"/>
          <w:pgSz w:w="12240" w:h="15840"/>
          <w:pgMar w:top="1296" w:right="1296" w:bottom="1296" w:left="1296" w:header="432" w:footer="495" w:gutter="0"/>
          <w:cols w:space="720"/>
          <w:docGrid w:linePitch="360"/>
        </w:sectPr>
      </w:pPr>
    </w:p>
    <w:p w:rsidR="001330CB" w:rsidRDefault="001330CB" w:rsidP="00A77971">
      <w:pPr>
        <w:spacing w:after="0" w:line="240" w:lineRule="auto"/>
      </w:pPr>
    </w:p>
    <w:p w:rsidR="009C42AC" w:rsidRDefault="009C42AC" w:rsidP="00A77971">
      <w:pPr>
        <w:spacing w:after="0" w:line="240" w:lineRule="auto"/>
        <w:rPr>
          <w:b/>
          <w:i/>
          <w:color w:val="C00000"/>
        </w:rPr>
      </w:pPr>
    </w:p>
    <w:p w:rsidR="000B1737" w:rsidRPr="001330CB" w:rsidRDefault="000B1737" w:rsidP="00A77971">
      <w:pPr>
        <w:spacing w:after="0" w:line="240" w:lineRule="auto"/>
        <w:rPr>
          <w:b/>
          <w:i/>
          <w:color w:val="C00000"/>
        </w:rPr>
      </w:pPr>
      <w:r w:rsidRPr="001330CB">
        <w:rPr>
          <w:b/>
          <w:i/>
          <w:color w:val="C00000"/>
        </w:rPr>
        <w:t>Award Winning Facilities</w:t>
      </w:r>
    </w:p>
    <w:p w:rsidR="000B1737" w:rsidRDefault="000B1737" w:rsidP="00A77971">
      <w:pPr>
        <w:spacing w:after="0" w:line="240" w:lineRule="auto"/>
      </w:pPr>
    </w:p>
    <w:p w:rsidR="00CF47BB" w:rsidRPr="008304CD" w:rsidRDefault="00B85E15" w:rsidP="00A77971">
      <w:pPr>
        <w:spacing w:after="0" w:line="240" w:lineRule="auto"/>
        <w:rPr>
          <w:sz w:val="20"/>
          <w:szCs w:val="20"/>
        </w:rPr>
      </w:pPr>
      <w:r w:rsidRPr="008304CD">
        <w:rPr>
          <w:sz w:val="20"/>
          <w:szCs w:val="20"/>
        </w:rPr>
        <w:t xml:space="preserve">In 2009 the International Convention &amp; Congress Association (ICCA) named Boston </w:t>
      </w:r>
      <w:r w:rsidR="009D127E" w:rsidRPr="008304CD">
        <w:rPr>
          <w:sz w:val="20"/>
          <w:szCs w:val="20"/>
        </w:rPr>
        <w:t xml:space="preserve">the </w:t>
      </w:r>
      <w:r w:rsidRPr="008304CD">
        <w:rPr>
          <w:sz w:val="20"/>
          <w:szCs w:val="20"/>
        </w:rPr>
        <w:t xml:space="preserve">best destination in America for international meetings and events. </w:t>
      </w:r>
    </w:p>
    <w:p w:rsidR="001330CB" w:rsidRPr="008304CD" w:rsidRDefault="001330CB" w:rsidP="00A77971">
      <w:pPr>
        <w:spacing w:after="0" w:line="240" w:lineRule="auto"/>
        <w:rPr>
          <w:sz w:val="20"/>
          <w:szCs w:val="20"/>
        </w:rPr>
      </w:pPr>
    </w:p>
    <w:p w:rsidR="00B85E15" w:rsidRPr="008304CD" w:rsidRDefault="00B85E15" w:rsidP="00A77971">
      <w:pPr>
        <w:spacing w:after="0" w:line="240" w:lineRule="auto"/>
        <w:rPr>
          <w:sz w:val="20"/>
          <w:szCs w:val="20"/>
        </w:rPr>
      </w:pPr>
      <w:r w:rsidRPr="008304CD">
        <w:rPr>
          <w:sz w:val="20"/>
          <w:szCs w:val="20"/>
        </w:rPr>
        <w:t>Boston Convention Centers are internationally recognized. The Boston Convention &amp; Exhibition Center</w:t>
      </w:r>
      <w:r w:rsidR="00273C67" w:rsidRPr="008304CD">
        <w:rPr>
          <w:sz w:val="20"/>
          <w:szCs w:val="20"/>
        </w:rPr>
        <w:t xml:space="preserve"> (BCEC)</w:t>
      </w:r>
      <w:r w:rsidRPr="008304CD">
        <w:rPr>
          <w:sz w:val="20"/>
          <w:szCs w:val="20"/>
        </w:rPr>
        <w:t xml:space="preserve"> and the John B. Hynes Veterans Memorial Convention Center both earned a gold standard this year from the International Association of Congress </w:t>
      </w:r>
      <w:proofErr w:type="spellStart"/>
      <w:r w:rsidRPr="008304CD">
        <w:rPr>
          <w:sz w:val="20"/>
          <w:szCs w:val="20"/>
        </w:rPr>
        <w:t>Centres</w:t>
      </w:r>
      <w:proofErr w:type="spellEnd"/>
      <w:r w:rsidRPr="008304CD">
        <w:rPr>
          <w:sz w:val="20"/>
          <w:szCs w:val="20"/>
        </w:rPr>
        <w:t xml:space="preserve"> (AIPC), making them the 4</w:t>
      </w:r>
      <w:r w:rsidRPr="008304CD">
        <w:rPr>
          <w:sz w:val="20"/>
          <w:szCs w:val="20"/>
          <w:vertAlign w:val="superscript"/>
        </w:rPr>
        <w:t>th</w:t>
      </w:r>
      <w:r w:rsidRPr="008304CD">
        <w:rPr>
          <w:sz w:val="20"/>
          <w:szCs w:val="20"/>
        </w:rPr>
        <w:t xml:space="preserve"> and 5</w:t>
      </w:r>
      <w:r w:rsidRPr="008304CD">
        <w:rPr>
          <w:sz w:val="20"/>
          <w:szCs w:val="20"/>
          <w:vertAlign w:val="superscript"/>
        </w:rPr>
        <w:t>th</w:t>
      </w:r>
      <w:r w:rsidRPr="008304CD">
        <w:rPr>
          <w:sz w:val="20"/>
          <w:szCs w:val="20"/>
        </w:rPr>
        <w:t xml:space="preserve"> in North America and 14</w:t>
      </w:r>
      <w:r w:rsidRPr="008304CD">
        <w:rPr>
          <w:sz w:val="20"/>
          <w:szCs w:val="20"/>
          <w:vertAlign w:val="superscript"/>
        </w:rPr>
        <w:t>th</w:t>
      </w:r>
      <w:r w:rsidRPr="008304CD">
        <w:rPr>
          <w:sz w:val="20"/>
          <w:szCs w:val="20"/>
        </w:rPr>
        <w:t xml:space="preserve"> and 15</w:t>
      </w:r>
      <w:r w:rsidRPr="008304CD">
        <w:rPr>
          <w:sz w:val="20"/>
          <w:szCs w:val="20"/>
          <w:vertAlign w:val="superscript"/>
        </w:rPr>
        <w:t>th</w:t>
      </w:r>
      <w:r w:rsidRPr="008304CD">
        <w:rPr>
          <w:sz w:val="20"/>
          <w:szCs w:val="20"/>
        </w:rPr>
        <w:t xml:space="preserve"> worldwide.</w:t>
      </w:r>
    </w:p>
    <w:p w:rsidR="001330CB" w:rsidRPr="008304CD" w:rsidRDefault="001330CB" w:rsidP="00A77971">
      <w:pPr>
        <w:spacing w:after="0" w:line="240" w:lineRule="auto"/>
        <w:rPr>
          <w:sz w:val="20"/>
          <w:szCs w:val="20"/>
        </w:rPr>
      </w:pPr>
    </w:p>
    <w:p w:rsidR="00273C67" w:rsidRPr="008304CD" w:rsidRDefault="00273C67" w:rsidP="00A77971">
      <w:pPr>
        <w:spacing w:after="0" w:line="240" w:lineRule="auto"/>
        <w:rPr>
          <w:sz w:val="20"/>
          <w:szCs w:val="20"/>
        </w:rPr>
      </w:pPr>
      <w:r w:rsidRPr="009B3620">
        <w:rPr>
          <w:i/>
          <w:sz w:val="20"/>
          <w:szCs w:val="20"/>
        </w:rPr>
        <w:t>Tradeshow Week Magazine</w:t>
      </w:r>
      <w:r w:rsidRPr="008304CD">
        <w:rPr>
          <w:sz w:val="20"/>
          <w:szCs w:val="20"/>
        </w:rPr>
        <w:t xml:space="preserve"> </w:t>
      </w:r>
      <w:r w:rsidR="009B3620">
        <w:rPr>
          <w:sz w:val="20"/>
          <w:szCs w:val="20"/>
        </w:rPr>
        <w:t>has also ranked Boston in the top 10 for American convention destinations every year since 2006.</w:t>
      </w:r>
    </w:p>
    <w:p w:rsidR="000B1737" w:rsidRDefault="000B1737" w:rsidP="00A77971">
      <w:pPr>
        <w:spacing w:after="0" w:line="240" w:lineRule="auto"/>
      </w:pPr>
    </w:p>
    <w:p w:rsidR="000B1737" w:rsidRPr="001330CB" w:rsidRDefault="000B1737" w:rsidP="00A77971">
      <w:pPr>
        <w:spacing w:after="0" w:line="240" w:lineRule="auto"/>
        <w:rPr>
          <w:b/>
          <w:i/>
          <w:color w:val="C00000"/>
        </w:rPr>
      </w:pPr>
      <w:r w:rsidRPr="001330CB">
        <w:rPr>
          <w:b/>
          <w:i/>
          <w:color w:val="C00000"/>
        </w:rPr>
        <w:t>High Revenue</w:t>
      </w:r>
    </w:p>
    <w:p w:rsidR="000B1737" w:rsidRDefault="000B1737" w:rsidP="00A77971">
      <w:pPr>
        <w:spacing w:after="0" w:line="240" w:lineRule="auto"/>
      </w:pPr>
    </w:p>
    <w:p w:rsidR="00386288" w:rsidRDefault="00CB01F4" w:rsidP="00A77971">
      <w:pPr>
        <w:spacing w:after="0" w:line="240" w:lineRule="auto"/>
        <w:rPr>
          <w:sz w:val="20"/>
          <w:szCs w:val="20"/>
        </w:rPr>
      </w:pPr>
      <w:r>
        <w:rPr>
          <w:sz w:val="20"/>
          <w:szCs w:val="20"/>
        </w:rPr>
        <w:t>From 2005-2010, medical</w:t>
      </w:r>
      <w:r w:rsidR="00623560" w:rsidRPr="008304CD">
        <w:rPr>
          <w:sz w:val="20"/>
          <w:szCs w:val="20"/>
        </w:rPr>
        <w:t xml:space="preserve"> events </w:t>
      </w:r>
      <w:r w:rsidR="00DF02D9">
        <w:rPr>
          <w:sz w:val="20"/>
          <w:szCs w:val="20"/>
        </w:rPr>
        <w:t xml:space="preserve">in Boston </w:t>
      </w:r>
      <w:r w:rsidR="00623560" w:rsidRPr="008304CD">
        <w:rPr>
          <w:sz w:val="20"/>
          <w:szCs w:val="20"/>
        </w:rPr>
        <w:t>drew 603,313</w:t>
      </w:r>
      <w:r w:rsidR="008304CD">
        <w:rPr>
          <w:sz w:val="20"/>
          <w:szCs w:val="20"/>
        </w:rPr>
        <w:t xml:space="preserve"> </w:t>
      </w:r>
      <w:r w:rsidR="00623560" w:rsidRPr="008304CD">
        <w:rPr>
          <w:sz w:val="20"/>
          <w:szCs w:val="20"/>
        </w:rPr>
        <w:t xml:space="preserve">attendees creating a $648 million economic impact and </w:t>
      </w:r>
      <w:r w:rsidR="00273C67" w:rsidRPr="008304CD">
        <w:rPr>
          <w:sz w:val="20"/>
          <w:szCs w:val="20"/>
        </w:rPr>
        <w:t>$39.22 million in tax benefits.</w:t>
      </w:r>
      <w:r w:rsidR="009B3620">
        <w:rPr>
          <w:rStyle w:val="EndnoteReference"/>
          <w:sz w:val="20"/>
          <w:szCs w:val="20"/>
        </w:rPr>
        <w:endnoteReference w:id="1"/>
      </w:r>
    </w:p>
    <w:p w:rsidR="00386288" w:rsidRDefault="00386288" w:rsidP="00A77971">
      <w:pPr>
        <w:spacing w:after="0" w:line="240" w:lineRule="auto"/>
        <w:rPr>
          <w:sz w:val="20"/>
          <w:szCs w:val="20"/>
        </w:rPr>
      </w:pPr>
    </w:p>
    <w:p w:rsidR="00386288" w:rsidRDefault="00386288" w:rsidP="00A77971">
      <w:pPr>
        <w:spacing w:after="0" w:line="240" w:lineRule="auto"/>
        <w:rPr>
          <w:sz w:val="20"/>
          <w:szCs w:val="20"/>
        </w:rPr>
      </w:pPr>
    </w:p>
    <w:p w:rsidR="00386288" w:rsidRDefault="00386288" w:rsidP="00A77971">
      <w:pPr>
        <w:spacing w:after="0" w:line="240" w:lineRule="auto"/>
        <w:rPr>
          <w:sz w:val="20"/>
          <w:szCs w:val="20"/>
        </w:rPr>
      </w:pPr>
    </w:p>
    <w:p w:rsidR="00386288" w:rsidRDefault="00386288" w:rsidP="00A77971">
      <w:pPr>
        <w:spacing w:after="0" w:line="240" w:lineRule="auto"/>
        <w:rPr>
          <w:sz w:val="20"/>
          <w:szCs w:val="20"/>
        </w:rPr>
      </w:pPr>
    </w:p>
    <w:p w:rsidR="00386288" w:rsidRDefault="00386288" w:rsidP="00A77971">
      <w:pPr>
        <w:spacing w:after="0" w:line="240" w:lineRule="auto"/>
        <w:rPr>
          <w:sz w:val="20"/>
          <w:szCs w:val="20"/>
        </w:rPr>
      </w:pPr>
    </w:p>
    <w:p w:rsidR="00386288" w:rsidRDefault="00386288" w:rsidP="00A77971">
      <w:pPr>
        <w:spacing w:after="0" w:line="240" w:lineRule="auto"/>
        <w:rPr>
          <w:sz w:val="20"/>
          <w:szCs w:val="20"/>
        </w:rPr>
      </w:pPr>
    </w:p>
    <w:p w:rsidR="00386288" w:rsidRDefault="00386288" w:rsidP="00A77971">
      <w:pPr>
        <w:spacing w:after="0" w:line="240" w:lineRule="auto"/>
        <w:rPr>
          <w:sz w:val="20"/>
          <w:szCs w:val="20"/>
        </w:rPr>
      </w:pPr>
    </w:p>
    <w:p w:rsidR="00CB01F4" w:rsidRPr="008304CD" w:rsidRDefault="00CB01F4" w:rsidP="00A77971">
      <w:pPr>
        <w:spacing w:after="0" w:line="240" w:lineRule="auto"/>
        <w:rPr>
          <w:sz w:val="20"/>
          <w:szCs w:val="20"/>
        </w:rPr>
      </w:pPr>
      <w:r>
        <w:rPr>
          <w:sz w:val="20"/>
          <w:szCs w:val="20"/>
        </w:rPr>
        <w:t xml:space="preserve">The economic impact from medical events </w:t>
      </w:r>
      <w:r w:rsidR="00DF02D9">
        <w:rPr>
          <w:sz w:val="20"/>
          <w:szCs w:val="20"/>
        </w:rPr>
        <w:t xml:space="preserve">in Boston </w:t>
      </w:r>
      <w:r>
        <w:rPr>
          <w:sz w:val="20"/>
          <w:szCs w:val="20"/>
        </w:rPr>
        <w:t>increased 185% from 2005 to 2010, while tax revenue nearly doubled over the same period from $5.3 million to $10.13 million.</w:t>
      </w:r>
      <w:r w:rsidR="009B3620">
        <w:rPr>
          <w:rStyle w:val="EndnoteReference"/>
          <w:sz w:val="20"/>
          <w:szCs w:val="20"/>
        </w:rPr>
        <w:endnoteReference w:id="2"/>
      </w:r>
    </w:p>
    <w:p w:rsidR="00D9086E" w:rsidRDefault="00D9086E" w:rsidP="00A77971">
      <w:pPr>
        <w:spacing w:after="0" w:line="240" w:lineRule="auto"/>
      </w:pPr>
    </w:p>
    <w:p w:rsidR="00273C67" w:rsidRPr="008304CD" w:rsidRDefault="00273C67" w:rsidP="00A77971">
      <w:pPr>
        <w:spacing w:after="0" w:line="240" w:lineRule="auto"/>
        <w:rPr>
          <w:sz w:val="20"/>
          <w:szCs w:val="20"/>
        </w:rPr>
      </w:pPr>
      <w:r w:rsidRPr="008304CD">
        <w:rPr>
          <w:sz w:val="20"/>
          <w:szCs w:val="20"/>
        </w:rPr>
        <w:t>In the past 5 years, the BCEC and Hynes have generated $2.4 billion in economic impact for Massachusetts.</w:t>
      </w:r>
      <w:r w:rsidR="009B3620">
        <w:rPr>
          <w:rStyle w:val="EndnoteReference"/>
          <w:sz w:val="20"/>
          <w:szCs w:val="20"/>
        </w:rPr>
        <w:endnoteReference w:id="3"/>
      </w:r>
    </w:p>
    <w:p w:rsidR="00D9086E" w:rsidRPr="008304CD" w:rsidRDefault="00D9086E" w:rsidP="00A77971">
      <w:pPr>
        <w:spacing w:after="0" w:line="240" w:lineRule="auto"/>
        <w:rPr>
          <w:sz w:val="20"/>
          <w:szCs w:val="20"/>
        </w:rPr>
      </w:pPr>
    </w:p>
    <w:p w:rsidR="00D9086E" w:rsidRDefault="001B04EE" w:rsidP="00A77971">
      <w:pPr>
        <w:spacing w:after="0" w:line="240" w:lineRule="auto"/>
        <w:rPr>
          <w:sz w:val="20"/>
          <w:szCs w:val="20"/>
        </w:rPr>
      </w:pPr>
      <w:r w:rsidRPr="008304CD">
        <w:rPr>
          <w:sz w:val="20"/>
          <w:szCs w:val="20"/>
        </w:rPr>
        <w:t>The $166.55 million in economic impact from medical events was the most by any industry in 2009 and totaled more than the commercial, technology and education industries combined.</w:t>
      </w:r>
      <w:r w:rsidR="009B3620">
        <w:rPr>
          <w:rStyle w:val="EndnoteReference"/>
          <w:sz w:val="20"/>
          <w:szCs w:val="20"/>
        </w:rPr>
        <w:endnoteReference w:id="4"/>
      </w:r>
    </w:p>
    <w:p w:rsidR="00CB01F4" w:rsidRPr="008304CD" w:rsidRDefault="00CB01F4" w:rsidP="00A77971">
      <w:pPr>
        <w:spacing w:after="0" w:line="240" w:lineRule="auto"/>
        <w:rPr>
          <w:sz w:val="20"/>
          <w:szCs w:val="20"/>
        </w:rPr>
      </w:pPr>
    </w:p>
    <w:p w:rsidR="000B1737" w:rsidRPr="001330CB" w:rsidRDefault="000B1737" w:rsidP="00A77971">
      <w:pPr>
        <w:spacing w:after="0" w:line="240" w:lineRule="auto"/>
        <w:rPr>
          <w:b/>
          <w:i/>
          <w:color w:val="C00000"/>
        </w:rPr>
      </w:pPr>
      <w:r w:rsidRPr="001330CB">
        <w:rPr>
          <w:b/>
          <w:i/>
          <w:color w:val="C00000"/>
        </w:rPr>
        <w:t>Continued Demand</w:t>
      </w:r>
    </w:p>
    <w:p w:rsidR="000B1737" w:rsidRDefault="000B1737" w:rsidP="00A77971">
      <w:pPr>
        <w:spacing w:after="0" w:line="240" w:lineRule="auto"/>
      </w:pPr>
    </w:p>
    <w:p w:rsidR="00273C67" w:rsidRPr="008304CD" w:rsidRDefault="00273C67" w:rsidP="00A77971">
      <w:pPr>
        <w:spacing w:after="0" w:line="240" w:lineRule="auto"/>
        <w:rPr>
          <w:sz w:val="20"/>
          <w:szCs w:val="20"/>
        </w:rPr>
      </w:pPr>
      <w:r w:rsidRPr="008304CD">
        <w:rPr>
          <w:sz w:val="20"/>
          <w:szCs w:val="20"/>
        </w:rPr>
        <w:t xml:space="preserve">33 medical events </w:t>
      </w:r>
      <w:r w:rsidR="00D26783">
        <w:rPr>
          <w:sz w:val="20"/>
          <w:szCs w:val="20"/>
        </w:rPr>
        <w:t xml:space="preserve">are </w:t>
      </w:r>
      <w:r w:rsidRPr="008304CD">
        <w:rPr>
          <w:sz w:val="20"/>
          <w:szCs w:val="20"/>
        </w:rPr>
        <w:t>scheduled in Boston from May to November</w:t>
      </w:r>
      <w:r w:rsidR="00D26783">
        <w:rPr>
          <w:sz w:val="20"/>
          <w:szCs w:val="20"/>
        </w:rPr>
        <w:t xml:space="preserve"> 2011</w:t>
      </w:r>
      <w:r w:rsidRPr="008304CD">
        <w:rPr>
          <w:sz w:val="20"/>
          <w:szCs w:val="20"/>
        </w:rPr>
        <w:t>.</w:t>
      </w:r>
      <w:r w:rsidR="009B3620">
        <w:rPr>
          <w:rStyle w:val="EndnoteReference"/>
          <w:sz w:val="20"/>
          <w:szCs w:val="20"/>
        </w:rPr>
        <w:endnoteReference w:id="5"/>
      </w:r>
    </w:p>
    <w:p w:rsidR="009D127E" w:rsidRPr="008304CD" w:rsidRDefault="009D127E" w:rsidP="00A77971">
      <w:pPr>
        <w:spacing w:after="0" w:line="240" w:lineRule="auto"/>
        <w:rPr>
          <w:sz w:val="20"/>
          <w:szCs w:val="20"/>
        </w:rPr>
      </w:pPr>
    </w:p>
    <w:p w:rsidR="00607C4F" w:rsidRPr="008304CD" w:rsidRDefault="00607C4F" w:rsidP="00A77971">
      <w:pPr>
        <w:spacing w:after="0" w:line="240" w:lineRule="auto"/>
        <w:rPr>
          <w:sz w:val="20"/>
          <w:szCs w:val="20"/>
        </w:rPr>
      </w:pPr>
      <w:r w:rsidRPr="008304CD">
        <w:rPr>
          <w:sz w:val="20"/>
          <w:szCs w:val="20"/>
        </w:rPr>
        <w:t>By January 2011, Boston</w:t>
      </w:r>
      <w:r w:rsidR="009D127E" w:rsidRPr="008304CD">
        <w:rPr>
          <w:sz w:val="20"/>
          <w:szCs w:val="20"/>
        </w:rPr>
        <w:t xml:space="preserve"> had</w:t>
      </w:r>
      <w:r w:rsidRPr="008304CD">
        <w:rPr>
          <w:sz w:val="20"/>
          <w:szCs w:val="20"/>
        </w:rPr>
        <w:t xml:space="preserve"> turned away 184 prospective events over 18 months due to </w:t>
      </w:r>
      <w:r w:rsidR="005D13DB" w:rsidRPr="008304CD">
        <w:rPr>
          <w:sz w:val="20"/>
          <w:szCs w:val="20"/>
        </w:rPr>
        <w:t xml:space="preserve">availability, </w:t>
      </w:r>
      <w:r w:rsidRPr="008304CD">
        <w:rPr>
          <w:sz w:val="20"/>
          <w:szCs w:val="20"/>
        </w:rPr>
        <w:t>size and expense limitations.</w:t>
      </w:r>
      <w:r w:rsidR="009B3620">
        <w:rPr>
          <w:rStyle w:val="EndnoteReference"/>
          <w:sz w:val="20"/>
          <w:szCs w:val="20"/>
        </w:rPr>
        <w:endnoteReference w:id="6"/>
      </w:r>
    </w:p>
    <w:p w:rsidR="001330CB" w:rsidRPr="008304CD" w:rsidRDefault="001330CB" w:rsidP="00A77971">
      <w:pPr>
        <w:spacing w:after="0" w:line="240" w:lineRule="auto"/>
        <w:rPr>
          <w:sz w:val="20"/>
          <w:szCs w:val="20"/>
        </w:rPr>
      </w:pPr>
    </w:p>
    <w:p w:rsidR="00386288" w:rsidRPr="008304CD" w:rsidRDefault="007B548C" w:rsidP="00A77971">
      <w:pPr>
        <w:spacing w:after="0" w:line="240" w:lineRule="auto"/>
        <w:rPr>
          <w:sz w:val="20"/>
          <w:szCs w:val="20"/>
        </w:rPr>
      </w:pPr>
      <w:r w:rsidRPr="008304CD">
        <w:rPr>
          <w:sz w:val="20"/>
          <w:szCs w:val="20"/>
        </w:rPr>
        <w:t xml:space="preserve">The Biotechnology International Organization (Bio) </w:t>
      </w:r>
      <w:r w:rsidR="009B3620">
        <w:rPr>
          <w:sz w:val="20"/>
          <w:szCs w:val="20"/>
        </w:rPr>
        <w:t>stated</w:t>
      </w:r>
      <w:r w:rsidR="007249D8">
        <w:rPr>
          <w:sz w:val="20"/>
          <w:szCs w:val="20"/>
        </w:rPr>
        <w:t xml:space="preserve"> last year</w:t>
      </w:r>
      <w:r w:rsidR="009B3620">
        <w:rPr>
          <w:sz w:val="20"/>
          <w:szCs w:val="20"/>
        </w:rPr>
        <w:t xml:space="preserve"> </w:t>
      </w:r>
      <w:r w:rsidR="007249D8">
        <w:rPr>
          <w:sz w:val="20"/>
          <w:szCs w:val="20"/>
        </w:rPr>
        <w:t>it</w:t>
      </w:r>
      <w:r w:rsidR="009B3620">
        <w:rPr>
          <w:sz w:val="20"/>
          <w:szCs w:val="20"/>
        </w:rPr>
        <w:t xml:space="preserve"> would like</w:t>
      </w:r>
      <w:r w:rsidRPr="008304CD">
        <w:rPr>
          <w:sz w:val="20"/>
          <w:szCs w:val="20"/>
        </w:rPr>
        <w:t xml:space="preserve"> to make Boston part of </w:t>
      </w:r>
      <w:r w:rsidR="00653C86">
        <w:rPr>
          <w:sz w:val="20"/>
          <w:szCs w:val="20"/>
        </w:rPr>
        <w:t>i</w:t>
      </w:r>
      <w:r w:rsidR="00D510DB">
        <w:rPr>
          <w:sz w:val="20"/>
          <w:szCs w:val="20"/>
        </w:rPr>
        <w:t>t</w:t>
      </w:r>
      <w:r w:rsidR="00653C86">
        <w:rPr>
          <w:sz w:val="20"/>
          <w:szCs w:val="20"/>
        </w:rPr>
        <w:t>s</w:t>
      </w:r>
      <w:r w:rsidRPr="008304CD">
        <w:rPr>
          <w:sz w:val="20"/>
          <w:szCs w:val="20"/>
        </w:rPr>
        <w:t xml:space="preserve"> three-year meeting rotation after 2012,</w:t>
      </w:r>
      <w:r w:rsidR="007249D8">
        <w:rPr>
          <w:sz w:val="20"/>
          <w:szCs w:val="20"/>
        </w:rPr>
        <w:t xml:space="preserve"> as</w:t>
      </w:r>
      <w:r w:rsidRPr="008304CD">
        <w:rPr>
          <w:sz w:val="20"/>
          <w:szCs w:val="20"/>
        </w:rPr>
        <w:t xml:space="preserve"> </w:t>
      </w:r>
      <w:r w:rsidR="007249D8">
        <w:rPr>
          <w:sz w:val="20"/>
          <w:szCs w:val="20"/>
        </w:rPr>
        <w:t>its</w:t>
      </w:r>
      <w:r w:rsidRPr="008304CD">
        <w:rPr>
          <w:sz w:val="20"/>
          <w:szCs w:val="20"/>
        </w:rPr>
        <w:t xml:space="preserve"> 2007 event h</w:t>
      </w:r>
      <w:r w:rsidR="007249D8">
        <w:rPr>
          <w:sz w:val="20"/>
          <w:szCs w:val="20"/>
        </w:rPr>
        <w:t>ad</w:t>
      </w:r>
      <w:r w:rsidRPr="008304CD">
        <w:rPr>
          <w:sz w:val="20"/>
          <w:szCs w:val="20"/>
        </w:rPr>
        <w:t xml:space="preserve"> a record-breaking attendance and produced more than $24.1 million in economic impact.</w:t>
      </w:r>
      <w:r w:rsidR="009B3620">
        <w:rPr>
          <w:rStyle w:val="EndnoteReference"/>
          <w:sz w:val="20"/>
          <w:szCs w:val="20"/>
        </w:rPr>
        <w:endnoteReference w:id="7"/>
      </w:r>
    </w:p>
    <w:sectPr w:rsidR="00386288" w:rsidRPr="008304CD" w:rsidSect="001330CB">
      <w:endnotePr>
        <w:numFmt w:val="decimal"/>
      </w:endnotePr>
      <w:type w:val="continuous"/>
      <w:pgSz w:w="12240" w:h="15840"/>
      <w:pgMar w:top="1296" w:right="1296" w:bottom="1296" w:left="1296" w:header="720" w:footer="495"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783" w:rsidRDefault="00D26783" w:rsidP="001330CB">
      <w:pPr>
        <w:spacing w:after="0" w:line="240" w:lineRule="auto"/>
      </w:pPr>
      <w:r>
        <w:separator/>
      </w:r>
    </w:p>
  </w:endnote>
  <w:endnote w:type="continuationSeparator" w:id="0">
    <w:p w:rsidR="00D26783" w:rsidRDefault="00D26783" w:rsidP="001330CB">
      <w:pPr>
        <w:spacing w:after="0" w:line="240" w:lineRule="auto"/>
      </w:pPr>
      <w:r>
        <w:continuationSeparator/>
      </w:r>
    </w:p>
  </w:endnote>
  <w:endnote w:id="1">
    <w:p w:rsidR="00D26783" w:rsidRPr="009B3620" w:rsidRDefault="00D26783">
      <w:pPr>
        <w:pStyle w:val="EndnoteText"/>
        <w:rPr>
          <w:i/>
        </w:rPr>
      </w:pPr>
      <w:r>
        <w:rPr>
          <w:rStyle w:val="EndnoteReference"/>
        </w:rPr>
        <w:endnoteRef/>
      </w:r>
      <w:r>
        <w:t xml:space="preserve"> </w:t>
      </w:r>
      <w:r w:rsidRPr="009B3620">
        <w:t xml:space="preserve">MCCA, </w:t>
      </w:r>
      <w:r w:rsidRPr="009B3620">
        <w:rPr>
          <w:i/>
        </w:rPr>
        <w:t xml:space="preserve">2005-2009 Looking Back, Moving </w:t>
      </w:r>
      <w:proofErr w:type="gramStart"/>
      <w:r w:rsidRPr="009B3620">
        <w:rPr>
          <w:i/>
        </w:rPr>
        <w:t>Forward</w:t>
      </w:r>
      <w:proofErr w:type="gramEnd"/>
      <w:r w:rsidRPr="009B3620">
        <w:rPr>
          <w:i/>
        </w:rPr>
        <w:t>: 5-year Economic Impact Report and 2009 Annual Report.</w:t>
      </w:r>
    </w:p>
  </w:endnote>
  <w:endnote w:id="2">
    <w:p w:rsidR="00D26783" w:rsidRPr="004A1DB6" w:rsidRDefault="00D26783">
      <w:pPr>
        <w:pStyle w:val="EndnoteText"/>
        <w:rPr>
          <w:i/>
        </w:rPr>
      </w:pPr>
      <w:r>
        <w:rPr>
          <w:rStyle w:val="EndnoteReference"/>
        </w:rPr>
        <w:endnoteRef/>
      </w:r>
      <w:r>
        <w:t xml:space="preserve"> MCCA, </w:t>
      </w:r>
      <w:r>
        <w:rPr>
          <w:i/>
        </w:rPr>
        <w:t>2005-2009 Looking Back, Moving Forward</w:t>
      </w:r>
    </w:p>
  </w:endnote>
  <w:endnote w:id="3">
    <w:p w:rsidR="00D26783" w:rsidRDefault="00D26783">
      <w:pPr>
        <w:pStyle w:val="EndnoteText"/>
      </w:pPr>
      <w:r>
        <w:rPr>
          <w:rStyle w:val="EndnoteReference"/>
        </w:rPr>
        <w:endnoteRef/>
      </w:r>
      <w:r>
        <w:t xml:space="preserve"> MCCA, </w:t>
      </w:r>
      <w:r>
        <w:rPr>
          <w:i/>
        </w:rPr>
        <w:t>2005-2009 Looking Back, Moving Forward</w:t>
      </w:r>
    </w:p>
  </w:endnote>
  <w:endnote w:id="4">
    <w:p w:rsidR="00D26783" w:rsidRDefault="00D26783">
      <w:pPr>
        <w:pStyle w:val="EndnoteText"/>
      </w:pPr>
      <w:r>
        <w:rPr>
          <w:rStyle w:val="EndnoteReference"/>
        </w:rPr>
        <w:endnoteRef/>
      </w:r>
      <w:r>
        <w:t xml:space="preserve"> MCCA, </w:t>
      </w:r>
      <w:r>
        <w:rPr>
          <w:i/>
        </w:rPr>
        <w:t>2005-2009 Looking Back, Moving Forward</w:t>
      </w:r>
    </w:p>
  </w:endnote>
  <w:endnote w:id="5">
    <w:p w:rsidR="00D26783" w:rsidRDefault="00D26783">
      <w:pPr>
        <w:pStyle w:val="EndnoteText"/>
      </w:pPr>
      <w:r>
        <w:rPr>
          <w:rStyle w:val="EndnoteReference"/>
        </w:rPr>
        <w:endnoteRef/>
      </w:r>
      <w:r>
        <w:t xml:space="preserve"> MCCA Events Calendar, </w:t>
      </w:r>
      <w:r w:rsidRPr="004A1DB6">
        <w:t>http://www.massconvention.com/events.html</w:t>
      </w:r>
    </w:p>
  </w:endnote>
  <w:endnote w:id="6">
    <w:p w:rsidR="00D26783" w:rsidRPr="004A1DB6" w:rsidRDefault="00D26783">
      <w:pPr>
        <w:pStyle w:val="EndnoteText"/>
      </w:pPr>
      <w:r>
        <w:rPr>
          <w:rStyle w:val="EndnoteReference"/>
        </w:rPr>
        <w:endnoteRef/>
      </w:r>
      <w:r>
        <w:t xml:space="preserve"> MCCA, </w:t>
      </w:r>
      <w:r>
        <w:rPr>
          <w:i/>
        </w:rPr>
        <w:t>Massachusetts Convention Center Authority Newsletter</w:t>
      </w:r>
      <w:r>
        <w:t xml:space="preserve">. </w:t>
      </w:r>
      <w:proofErr w:type="gramStart"/>
      <w:r>
        <w:t>“The Top 5 Campaign.”</w:t>
      </w:r>
      <w:proofErr w:type="gramEnd"/>
      <w:r>
        <w:t xml:space="preserve"> </w:t>
      </w:r>
      <w:proofErr w:type="gramStart"/>
      <w:r>
        <w:t>Winter 2010, Issue 2.</w:t>
      </w:r>
      <w:proofErr w:type="gramEnd"/>
      <w:r>
        <w:t xml:space="preserve"> </w:t>
      </w:r>
    </w:p>
  </w:endnote>
  <w:endnote w:id="7">
    <w:p w:rsidR="00D26783" w:rsidRDefault="00D26783">
      <w:pPr>
        <w:pStyle w:val="EndnoteText"/>
      </w:pPr>
      <w:r>
        <w:rPr>
          <w:rStyle w:val="EndnoteReference"/>
        </w:rPr>
        <w:endnoteRef/>
      </w:r>
      <w:r>
        <w:t xml:space="preserve"> </w:t>
      </w:r>
      <w:proofErr w:type="gramStart"/>
      <w:r>
        <w:rPr>
          <w:i/>
        </w:rPr>
        <w:t>Massachusetts Convention Center Authority Newsletter</w:t>
      </w:r>
      <w:r>
        <w:t>.</w:t>
      </w:r>
      <w:proofErr w:type="gramEnd"/>
      <w:r>
        <w:t xml:space="preserve"> </w:t>
      </w:r>
      <w:proofErr w:type="gramStart"/>
      <w:r>
        <w:t>“The Top 5 Campaign.”</w:t>
      </w:r>
      <w:proofErr w:type="gramEnd"/>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783" w:rsidRDefault="00D26783">
    <w:pPr>
      <w:pStyle w:val="Footer"/>
    </w:pPr>
  </w:p>
  <w:p w:rsidR="00D26783" w:rsidRDefault="00D26783">
    <w:pPr>
      <w:pStyle w:val="Footer"/>
    </w:pPr>
    <w:r w:rsidRPr="001330CB">
      <w:rPr>
        <w:noProof/>
      </w:rPr>
      <w:drawing>
        <wp:inline distT="0" distB="0" distL="0" distR="0">
          <wp:extent cx="1600200" cy="380812"/>
          <wp:effectExtent l="19050" t="0" r="0" b="0"/>
          <wp:docPr id="1" name="Picture 4" descr="threadDL_485_WG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adDL_485_WG11.png"/>
                  <pic:cNvPicPr/>
                </pic:nvPicPr>
                <pic:blipFill>
                  <a:blip r:embed="rId1"/>
                  <a:stretch>
                    <a:fillRect/>
                  </a:stretch>
                </pic:blipFill>
                <pic:spPr>
                  <a:xfrm>
                    <a:off x="0" y="0"/>
                    <a:ext cx="1600200" cy="38081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783" w:rsidRDefault="00D26783" w:rsidP="001330CB">
      <w:pPr>
        <w:spacing w:after="0" w:line="240" w:lineRule="auto"/>
      </w:pPr>
      <w:r>
        <w:separator/>
      </w:r>
    </w:p>
  </w:footnote>
  <w:footnote w:type="continuationSeparator" w:id="0">
    <w:p w:rsidR="00D26783" w:rsidRDefault="00D26783" w:rsidP="001330C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rsids>
    <w:rsidRoot w:val="00B85E15"/>
    <w:rsid w:val="0000355D"/>
    <w:rsid w:val="000162D7"/>
    <w:rsid w:val="0006437D"/>
    <w:rsid w:val="000B1737"/>
    <w:rsid w:val="001330CB"/>
    <w:rsid w:val="001B04EE"/>
    <w:rsid w:val="00206940"/>
    <w:rsid w:val="00206B3C"/>
    <w:rsid w:val="00273C67"/>
    <w:rsid w:val="00386288"/>
    <w:rsid w:val="003D5DFC"/>
    <w:rsid w:val="004554DC"/>
    <w:rsid w:val="004A1DB6"/>
    <w:rsid w:val="005D13DB"/>
    <w:rsid w:val="00607C4F"/>
    <w:rsid w:val="00623560"/>
    <w:rsid w:val="00653C86"/>
    <w:rsid w:val="007244DD"/>
    <w:rsid w:val="007249D8"/>
    <w:rsid w:val="007B548C"/>
    <w:rsid w:val="007F7420"/>
    <w:rsid w:val="008304CD"/>
    <w:rsid w:val="009A1B9B"/>
    <w:rsid w:val="009B3620"/>
    <w:rsid w:val="009C42AC"/>
    <w:rsid w:val="009D127E"/>
    <w:rsid w:val="00A77971"/>
    <w:rsid w:val="00AC5F05"/>
    <w:rsid w:val="00B5754F"/>
    <w:rsid w:val="00B71FC5"/>
    <w:rsid w:val="00B85E15"/>
    <w:rsid w:val="00C34DA3"/>
    <w:rsid w:val="00CB01F4"/>
    <w:rsid w:val="00CF47BB"/>
    <w:rsid w:val="00D26783"/>
    <w:rsid w:val="00D510DB"/>
    <w:rsid w:val="00D61571"/>
    <w:rsid w:val="00D9086E"/>
    <w:rsid w:val="00DF02D9"/>
    <w:rsid w:val="00EF4A9D"/>
    <w:rsid w:val="00F36776"/>
    <w:rsid w:val="00FB32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B3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33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30CB"/>
    <w:rPr>
      <w:rFonts w:ascii="Arial" w:hAnsi="Arial"/>
    </w:rPr>
  </w:style>
  <w:style w:type="paragraph" w:styleId="Footer">
    <w:name w:val="footer"/>
    <w:basedOn w:val="Normal"/>
    <w:link w:val="FooterChar"/>
    <w:uiPriority w:val="99"/>
    <w:unhideWhenUsed/>
    <w:rsid w:val="00133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0CB"/>
    <w:rPr>
      <w:rFonts w:ascii="Arial" w:hAnsi="Arial"/>
    </w:rPr>
  </w:style>
  <w:style w:type="paragraph" w:styleId="BalloonText">
    <w:name w:val="Balloon Text"/>
    <w:basedOn w:val="Normal"/>
    <w:link w:val="BalloonTextChar"/>
    <w:uiPriority w:val="99"/>
    <w:semiHidden/>
    <w:unhideWhenUsed/>
    <w:rsid w:val="00133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0CB"/>
    <w:rPr>
      <w:rFonts w:ascii="Tahoma" w:hAnsi="Tahoma" w:cs="Tahoma"/>
      <w:sz w:val="16"/>
      <w:szCs w:val="16"/>
    </w:rPr>
  </w:style>
  <w:style w:type="table" w:styleId="TableGrid">
    <w:name w:val="Table Grid"/>
    <w:basedOn w:val="TableNormal"/>
    <w:uiPriority w:val="59"/>
    <w:rsid w:val="008304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8304C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8304C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304C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8304C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8304C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Shading1-Accent2">
    <w:name w:val="Medium Shading 1 Accent 2"/>
    <w:basedOn w:val="TableNormal"/>
    <w:uiPriority w:val="63"/>
    <w:rsid w:val="008304C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8304C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2">
    <w:name w:val="Medium List 1 Accent 2"/>
    <w:basedOn w:val="TableNormal"/>
    <w:uiPriority w:val="65"/>
    <w:rsid w:val="008304CD"/>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2-Accent2">
    <w:name w:val="Medium List 2 Accent 2"/>
    <w:basedOn w:val="TableNormal"/>
    <w:uiPriority w:val="66"/>
    <w:rsid w:val="008304C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2">
    <w:name w:val="Medium Grid 1 Accent 2"/>
    <w:basedOn w:val="TableNormal"/>
    <w:uiPriority w:val="67"/>
    <w:rsid w:val="008304C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EndnoteText">
    <w:name w:val="endnote text"/>
    <w:basedOn w:val="Normal"/>
    <w:link w:val="EndnoteTextChar"/>
    <w:uiPriority w:val="99"/>
    <w:semiHidden/>
    <w:unhideWhenUsed/>
    <w:rsid w:val="00F367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6776"/>
    <w:rPr>
      <w:rFonts w:ascii="Arial" w:hAnsi="Arial"/>
      <w:sz w:val="20"/>
      <w:szCs w:val="20"/>
    </w:rPr>
  </w:style>
  <w:style w:type="character" w:styleId="EndnoteReference">
    <w:name w:val="endnote reference"/>
    <w:basedOn w:val="DefaultParagraphFont"/>
    <w:uiPriority w:val="99"/>
    <w:semiHidden/>
    <w:unhideWhenUsed/>
    <w:rsid w:val="00F3677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E441E8C-C949-463F-9C59-32EE0DC19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AARP</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jshemenski</dc:creator>
  <cp:keywords/>
  <dc:description/>
  <cp:lastModifiedBy>jbeam</cp:lastModifiedBy>
  <cp:revision>2</cp:revision>
  <dcterms:created xsi:type="dcterms:W3CDTF">2011-05-12T15:56:00Z</dcterms:created>
  <dcterms:modified xsi:type="dcterms:W3CDTF">2011-05-12T15:56:00Z</dcterms:modified>
</cp:coreProperties>
</file>